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DE10A0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</w:t>
      </w:r>
      <w:r w:rsidR="009565FD">
        <w:rPr>
          <w:rFonts w:ascii="Arial" w:hAnsi="Arial" w:cs="Arial"/>
          <w:b/>
          <w:sz w:val="24"/>
        </w:rPr>
        <w:t>EX</w:t>
      </w:r>
      <w:r>
        <w:rPr>
          <w:rFonts w:ascii="Arial" w:hAnsi="Arial" w:cs="Arial"/>
          <w:b/>
          <w:sz w:val="24"/>
        </w:rPr>
        <w:t>O</w:t>
      </w:r>
      <w:r w:rsidR="009565FD">
        <w:rPr>
          <w:rFonts w:ascii="Arial" w:hAnsi="Arial" w:cs="Arial"/>
          <w:b/>
          <w:sz w:val="24"/>
        </w:rPr>
        <w:t xml:space="preserve"> 2</w:t>
      </w:r>
    </w:p>
    <w:p w:rsidR="009565FD" w:rsidRPr="009565FD" w:rsidRDefault="00DE10A0" w:rsidP="009565FD">
      <w:pPr>
        <w:ind w:left="1134" w:right="1219"/>
        <w:rPr>
          <w:rFonts w:ascii="Arial" w:hAnsi="Arial" w:cs="Arial"/>
          <w:b/>
          <w:i/>
          <w:sz w:val="24"/>
        </w:rPr>
      </w:pPr>
      <w:r w:rsidRPr="00DE10A0">
        <w:rPr>
          <w:rFonts w:ascii="Arial" w:hAnsi="Arial" w:cs="Arial"/>
          <w:b/>
          <w:i/>
          <w:sz w:val="24"/>
          <w:lang w:val="pt-PT"/>
        </w:rPr>
        <w:t>Características das culturas</w:t>
      </w:r>
    </w:p>
    <w:p w:rsidR="009565FD" w:rsidRPr="009565FD" w:rsidRDefault="009565FD" w:rsidP="009565FD">
      <w:pPr>
        <w:tabs>
          <w:tab w:val="left" w:pos="2112"/>
        </w:tabs>
        <w:ind w:left="1134" w:right="652"/>
        <w:jc w:val="center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----------------</w:t>
      </w:r>
      <w:r w:rsidRPr="009565FD">
        <w:rPr>
          <w:rFonts w:ascii="Arial" w:eastAsia="Cambria" w:hAnsi="Arial" w:cs="Arial"/>
          <w:sz w:val="20"/>
          <w:szCs w:val="20"/>
        </w:rPr>
        <w:t>--------------------------------------------------------------------------------------------------------</w:t>
      </w:r>
      <w:r>
        <w:rPr>
          <w:rFonts w:ascii="Arial" w:eastAsia="Cambria" w:hAnsi="Arial" w:cs="Arial"/>
          <w:sz w:val="20"/>
          <w:szCs w:val="20"/>
        </w:rPr>
        <w:t>------------------------</w:t>
      </w:r>
    </w:p>
    <w:p w:rsidR="009565FD" w:rsidRPr="009565FD" w:rsidRDefault="009565FD" w:rsidP="009565FD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</w:rPr>
      </w:pPr>
    </w:p>
    <w:tbl>
      <w:tblPr>
        <w:tblStyle w:val="Tabela-Siatka1"/>
        <w:tblW w:w="9826" w:type="dxa"/>
        <w:jc w:val="center"/>
        <w:tblInd w:w="1242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4854"/>
        <w:gridCol w:w="4972"/>
      </w:tblGrid>
      <w:tr w:rsidR="00DE10A0" w:rsidRPr="009565FD" w:rsidTr="009A640E">
        <w:trPr>
          <w:trHeight w:val="1134"/>
          <w:jc w:val="center"/>
        </w:trPr>
        <w:tc>
          <w:tcPr>
            <w:tcW w:w="4854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8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b/>
                <w:sz w:val="28"/>
                <w:szCs w:val="20"/>
                <w:lang w:val="pt-PT"/>
              </w:rPr>
              <w:t>INDIVIDUALISMO</w:t>
            </w:r>
          </w:p>
        </w:tc>
        <w:tc>
          <w:tcPr>
            <w:tcW w:w="4972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8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b/>
                <w:sz w:val="28"/>
                <w:szCs w:val="20"/>
                <w:lang w:val="pt-PT"/>
              </w:rPr>
              <w:t>COLECTIVISMO</w:t>
            </w:r>
          </w:p>
        </w:tc>
      </w:tr>
      <w:tr w:rsidR="00DE10A0" w:rsidRPr="009565FD" w:rsidTr="009A640E">
        <w:trPr>
          <w:trHeight w:val="1134"/>
          <w:jc w:val="center"/>
        </w:trPr>
        <w:tc>
          <w:tcPr>
            <w:tcW w:w="4854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/>
              </w:rPr>
              <w:t>Dar a sua opinião é saudável</w:t>
            </w:r>
          </w:p>
        </w:tc>
        <w:tc>
          <w:tcPr>
            <w:tcW w:w="4972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/>
              </w:rPr>
              <w:t xml:space="preserve">As crianças precisam aprender lealdade e devoção para </w:t>
            </w:r>
            <w:r>
              <w:rPr>
                <w:rFonts w:ascii="Arial" w:eastAsia="Cambria" w:hAnsi="Arial" w:cs="Arial"/>
                <w:sz w:val="20"/>
                <w:szCs w:val="20"/>
                <w:lang w:val="pt-PT"/>
              </w:rPr>
              <w:t xml:space="preserve">com </w:t>
            </w:r>
            <w:r w:rsidRPr="00D209D6">
              <w:rPr>
                <w:rFonts w:ascii="Arial" w:eastAsia="Cambria" w:hAnsi="Arial" w:cs="Arial"/>
                <w:sz w:val="20"/>
                <w:szCs w:val="20"/>
                <w:lang w:val="pt-PT"/>
              </w:rPr>
              <w:t>a sociedade</w:t>
            </w:r>
          </w:p>
        </w:tc>
      </w:tr>
      <w:tr w:rsidR="00DE10A0" w:rsidRPr="009565FD" w:rsidTr="009A640E">
        <w:trPr>
          <w:trHeight w:val="1134"/>
          <w:jc w:val="center"/>
        </w:trPr>
        <w:tc>
          <w:tcPr>
            <w:tcW w:w="4854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</w:p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Cambria" w:hAnsi="Arial" w:cs="Arial"/>
                <w:sz w:val="20"/>
                <w:szCs w:val="20"/>
                <w:lang w:val="pt-PT"/>
              </w:rPr>
              <w:t>A o</w:t>
            </w:r>
            <w:r w:rsidRPr="00D209D6">
              <w:rPr>
                <w:rFonts w:ascii="Arial" w:eastAsia="Cambria" w:hAnsi="Arial" w:cs="Arial"/>
                <w:sz w:val="20"/>
                <w:szCs w:val="20"/>
                <w:lang w:val="pt-PT"/>
              </w:rPr>
              <w:t xml:space="preserve">pinião pessoal </w:t>
            </w:r>
            <w:r>
              <w:rPr>
                <w:rFonts w:ascii="Arial" w:eastAsia="Cambria" w:hAnsi="Arial" w:cs="Arial"/>
                <w:sz w:val="20"/>
                <w:szCs w:val="20"/>
                <w:lang w:val="pt-PT"/>
              </w:rPr>
              <w:t xml:space="preserve">é </w:t>
            </w:r>
            <w:r w:rsidRPr="00D209D6">
              <w:rPr>
                <w:rFonts w:ascii="Arial" w:eastAsia="Cambria" w:hAnsi="Arial" w:cs="Arial"/>
                <w:sz w:val="20"/>
                <w:szCs w:val="20"/>
                <w:lang w:val="pt-PT"/>
              </w:rPr>
              <w:t>esperada: uma pessoa, um voto</w:t>
            </w:r>
          </w:p>
        </w:tc>
        <w:tc>
          <w:tcPr>
            <w:tcW w:w="4972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/>
              </w:rPr>
              <w:t>A harmonia deve ser sempre mantida</w:t>
            </w:r>
          </w:p>
        </w:tc>
      </w:tr>
      <w:tr w:rsidR="00DE10A0" w:rsidRPr="00DE10A0" w:rsidTr="009A640E">
        <w:trPr>
          <w:trHeight w:val="1134"/>
          <w:jc w:val="center"/>
        </w:trPr>
        <w:tc>
          <w:tcPr>
            <w:tcW w:w="4854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>O objetivo da educação é aprender a aprender</w:t>
            </w:r>
          </w:p>
        </w:tc>
        <w:tc>
          <w:tcPr>
            <w:tcW w:w="4972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/>
              </w:rPr>
              <w:t>O relacionamento prevalece sobre a tarefa</w:t>
            </w:r>
          </w:p>
        </w:tc>
      </w:tr>
      <w:tr w:rsidR="00DE10A0" w:rsidRPr="009565FD" w:rsidTr="009A640E">
        <w:trPr>
          <w:trHeight w:val="1134"/>
          <w:jc w:val="center"/>
        </w:trPr>
        <w:tc>
          <w:tcPr>
            <w:tcW w:w="4854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</w:p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 xml:space="preserve">As decisões são tomadas com base em valores e </w:t>
            </w:r>
            <w:r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 xml:space="preserve">em </w:t>
            </w:r>
            <w:r w:rsidRPr="00D209D6"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>crenças pessoais</w:t>
            </w:r>
          </w:p>
        </w:tc>
        <w:tc>
          <w:tcPr>
            <w:tcW w:w="4972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/>
              </w:rPr>
              <w:t>Uma pessoa solteira, sem família e amigos, não é uma figura importante</w:t>
            </w:r>
          </w:p>
        </w:tc>
      </w:tr>
      <w:tr w:rsidR="00DE10A0" w:rsidRPr="009565FD" w:rsidTr="009A640E">
        <w:trPr>
          <w:trHeight w:val="1134"/>
          <w:jc w:val="center"/>
        </w:trPr>
        <w:tc>
          <w:tcPr>
            <w:tcW w:w="4854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>A autonomia e a competição são valorizadas</w:t>
            </w:r>
          </w:p>
        </w:tc>
        <w:tc>
          <w:tcPr>
            <w:tcW w:w="4972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/>
              </w:rPr>
              <w:t>As pessoas são classificadas como estando dentro do grupo ou fora do grupo</w:t>
            </w:r>
          </w:p>
        </w:tc>
      </w:tr>
    </w:tbl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Arial" w:eastAsia="Cambria" w:hAnsi="Arial" w:cs="Arial"/>
          <w:sz w:val="20"/>
          <w:szCs w:val="20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Arial" w:eastAsia="Cambria" w:hAnsi="Arial" w:cs="Arial"/>
          <w:sz w:val="20"/>
          <w:szCs w:val="20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tbl>
      <w:tblPr>
        <w:tblStyle w:val="Tabela-Siatka1"/>
        <w:tblW w:w="9335" w:type="dxa"/>
        <w:jc w:val="center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4667"/>
        <w:gridCol w:w="4668"/>
      </w:tblGrid>
      <w:tr w:rsidR="00DE10A0" w:rsidRPr="009565FD" w:rsidTr="009A640E">
        <w:trPr>
          <w:trHeight w:val="1134"/>
          <w:jc w:val="center"/>
        </w:trPr>
        <w:tc>
          <w:tcPr>
            <w:tcW w:w="4667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8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b/>
                <w:sz w:val="28"/>
                <w:szCs w:val="20"/>
                <w:lang w:val="pt-PT"/>
              </w:rPr>
              <w:t>CULTURA DE ALTO CONTEXTO</w:t>
            </w:r>
          </w:p>
        </w:tc>
        <w:tc>
          <w:tcPr>
            <w:tcW w:w="4668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8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b/>
                <w:sz w:val="28"/>
                <w:szCs w:val="20"/>
                <w:lang w:val="pt-PT"/>
              </w:rPr>
              <w:t>CULTURA DE BAIXO CONTEXTO</w:t>
            </w:r>
          </w:p>
        </w:tc>
      </w:tr>
      <w:tr w:rsidR="00DE10A0" w:rsidRPr="009565FD" w:rsidTr="009A640E">
        <w:trPr>
          <w:trHeight w:val="1134"/>
          <w:jc w:val="center"/>
        </w:trPr>
        <w:tc>
          <w:tcPr>
            <w:tcW w:w="4667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</w:p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>A m</w:t>
            </w:r>
            <w:r w:rsidRPr="00D209D6"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 xml:space="preserve">ensagem </w:t>
            </w:r>
            <w:r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 xml:space="preserve">está </w:t>
            </w:r>
            <w:r w:rsidRPr="00D209D6"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 xml:space="preserve">escondida </w:t>
            </w:r>
            <w:r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>n</w:t>
            </w:r>
            <w:r w:rsidRPr="00D209D6"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 xml:space="preserve">as </w:t>
            </w:r>
            <w:r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>entre</w:t>
            </w:r>
            <w:r w:rsidRPr="00D209D6"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>linhas</w:t>
            </w:r>
          </w:p>
        </w:tc>
        <w:tc>
          <w:tcPr>
            <w:tcW w:w="4668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/>
              </w:rPr>
              <w:t>A comunicação verbal é valorizada</w:t>
            </w:r>
          </w:p>
        </w:tc>
      </w:tr>
      <w:tr w:rsidR="00DE10A0" w:rsidRPr="009565FD" w:rsidTr="009A640E">
        <w:trPr>
          <w:trHeight w:val="1134"/>
          <w:jc w:val="center"/>
        </w:trPr>
        <w:tc>
          <w:tcPr>
            <w:tcW w:w="4667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</w:p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>"Talvez" e "por um tempo" significa que não</w:t>
            </w:r>
          </w:p>
        </w:tc>
        <w:tc>
          <w:tcPr>
            <w:tcW w:w="4668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/>
              </w:rPr>
              <w:t>Rea</w:t>
            </w:r>
            <w:r>
              <w:rPr>
                <w:rFonts w:ascii="Arial" w:eastAsia="Cambria" w:hAnsi="Arial" w:cs="Arial"/>
                <w:sz w:val="20"/>
                <w:szCs w:val="20"/>
                <w:lang w:val="pt-PT"/>
              </w:rPr>
              <w:t>ção visível, orientada para for</w:t>
            </w:r>
            <w:r w:rsidRPr="00D209D6">
              <w:rPr>
                <w:rFonts w:ascii="Arial" w:eastAsia="Cambria" w:hAnsi="Arial" w:cs="Arial"/>
                <w:sz w:val="20"/>
                <w:szCs w:val="20"/>
                <w:lang w:val="pt-PT"/>
              </w:rPr>
              <w:t>a e externa</w:t>
            </w:r>
          </w:p>
        </w:tc>
      </w:tr>
      <w:tr w:rsidR="00DE10A0" w:rsidRPr="009565FD" w:rsidTr="00D82C04">
        <w:trPr>
          <w:trHeight w:val="1134"/>
          <w:jc w:val="center"/>
        </w:trPr>
        <w:tc>
          <w:tcPr>
            <w:tcW w:w="4667" w:type="dxa"/>
            <w:vAlign w:val="bottom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/>
              </w:rPr>
              <w:t>A informação deve ser lida no contexto da situação</w:t>
            </w:r>
          </w:p>
        </w:tc>
        <w:tc>
          <w:tcPr>
            <w:tcW w:w="4668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/>
              </w:rPr>
              <w:t>Muitas mensagens abertas e explícitas que são simples e claras</w:t>
            </w:r>
          </w:p>
        </w:tc>
      </w:tr>
      <w:tr w:rsidR="00DE10A0" w:rsidRPr="00DE10A0" w:rsidTr="009A640E">
        <w:trPr>
          <w:trHeight w:val="1134"/>
          <w:jc w:val="center"/>
        </w:trPr>
        <w:tc>
          <w:tcPr>
            <w:tcW w:w="4667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</w:p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>Locus de control</w:t>
            </w:r>
            <w:r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>o</w:t>
            </w:r>
            <w:r w:rsidRPr="00D209D6"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 xml:space="preserve"> interno e aceitação pessoal por falha</w:t>
            </w:r>
          </w:p>
        </w:tc>
        <w:tc>
          <w:tcPr>
            <w:tcW w:w="4668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/>
              </w:rPr>
              <w:t>Não se concentra na emoção do interlocutor</w:t>
            </w:r>
          </w:p>
        </w:tc>
      </w:tr>
      <w:tr w:rsidR="00DE10A0" w:rsidRPr="009565FD" w:rsidTr="009A640E">
        <w:trPr>
          <w:trHeight w:val="1134"/>
          <w:jc w:val="center"/>
        </w:trPr>
        <w:tc>
          <w:tcPr>
            <w:tcW w:w="4667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>Muita comunicação não-verbal</w:t>
            </w:r>
          </w:p>
        </w:tc>
        <w:tc>
          <w:tcPr>
            <w:tcW w:w="4668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/>
              </w:rPr>
              <w:t>Concentr</w:t>
            </w:r>
            <w:r>
              <w:rPr>
                <w:rFonts w:ascii="Arial" w:eastAsia="Cambria" w:hAnsi="Arial" w:cs="Arial"/>
                <w:sz w:val="20"/>
                <w:szCs w:val="20"/>
                <w:lang w:val="pt-PT"/>
              </w:rPr>
              <w:t>a</w:t>
            </w:r>
            <w:r w:rsidRPr="00D209D6">
              <w:rPr>
                <w:rFonts w:ascii="Arial" w:eastAsia="Cambria" w:hAnsi="Arial" w:cs="Arial"/>
                <w:sz w:val="20"/>
                <w:szCs w:val="20"/>
                <w:lang w:val="pt-PT"/>
              </w:rPr>
              <w:t>-se no objetivo da comunicação</w:t>
            </w:r>
          </w:p>
        </w:tc>
      </w:tr>
    </w:tbl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tbl>
      <w:tblPr>
        <w:tblStyle w:val="Tabela-Siatka1"/>
        <w:tblW w:w="9335" w:type="dxa"/>
        <w:tblInd w:w="110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4667"/>
        <w:gridCol w:w="4668"/>
      </w:tblGrid>
      <w:tr w:rsidR="00DE10A0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8"/>
                <w:szCs w:val="28"/>
                <w:lang w:val="pt-PT"/>
              </w:rPr>
            </w:pPr>
            <w:r w:rsidRPr="73D816DC">
              <w:rPr>
                <w:rFonts w:ascii="Arial" w:eastAsia="Cambria" w:hAnsi="Arial" w:cs="Arial"/>
                <w:b/>
                <w:bCs/>
                <w:sz w:val="28"/>
                <w:szCs w:val="28"/>
                <w:lang w:val="pt-PT" w:eastAsia="pt-PT"/>
              </w:rPr>
              <w:t>CULTURA MONOCRÓNICA</w:t>
            </w:r>
          </w:p>
        </w:tc>
        <w:tc>
          <w:tcPr>
            <w:tcW w:w="4668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8"/>
                <w:szCs w:val="28"/>
                <w:lang w:val="pt-PT"/>
              </w:rPr>
            </w:pPr>
            <w:r w:rsidRPr="73D816DC">
              <w:rPr>
                <w:rFonts w:ascii="Arial" w:eastAsia="Cambria" w:hAnsi="Arial" w:cs="Arial"/>
                <w:b/>
                <w:bCs/>
                <w:sz w:val="28"/>
                <w:szCs w:val="28"/>
                <w:lang w:val="pt-PT"/>
              </w:rPr>
              <w:t>CULTURA POLICRÓNICA</w:t>
            </w:r>
          </w:p>
        </w:tc>
      </w:tr>
      <w:tr w:rsidR="00DE10A0" w:rsidRPr="009565FD" w:rsidTr="009A640E">
        <w:trPr>
          <w:trHeight w:val="1134"/>
        </w:trPr>
        <w:tc>
          <w:tcPr>
            <w:tcW w:w="4667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</w:p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/>
              </w:rPr>
              <w:t>Fazer uma coisa de cada vez</w:t>
            </w:r>
          </w:p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4668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/>
              </w:rPr>
              <w:t>É possível organizar mais de uma reunião ao mesmo tempo</w:t>
            </w:r>
          </w:p>
        </w:tc>
      </w:tr>
      <w:tr w:rsidR="00DE10A0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</w:p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>Pensar quando as coisas devem ser alcançadas</w:t>
            </w:r>
          </w:p>
        </w:tc>
        <w:tc>
          <w:tcPr>
            <w:tcW w:w="4668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/>
              </w:rPr>
              <w:t>Marcamos a reunião à tarde / noite em vez de a uma hora fixa</w:t>
            </w:r>
          </w:p>
        </w:tc>
      </w:tr>
      <w:tr w:rsidR="00DE10A0" w:rsidRPr="00DE10A0" w:rsidTr="00993A79">
        <w:trPr>
          <w:trHeight w:val="1134"/>
        </w:trPr>
        <w:tc>
          <w:tcPr>
            <w:tcW w:w="4667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</w:p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/>
              </w:rPr>
              <w:t>Tempo é dinheiro!</w:t>
            </w:r>
          </w:p>
        </w:tc>
        <w:tc>
          <w:tcPr>
            <w:tcW w:w="4668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/>
              </w:rPr>
              <w:t>O atraso é uma norma</w:t>
            </w:r>
            <w:r>
              <w:rPr>
                <w:rFonts w:ascii="Arial" w:eastAsia="Cambria" w:hAnsi="Arial" w:cs="Arial"/>
                <w:sz w:val="20"/>
                <w:szCs w:val="20"/>
                <w:lang w:val="pt-PT"/>
              </w:rPr>
              <w:t>, a</w:t>
            </w:r>
            <w:r w:rsidRPr="00D209D6">
              <w:rPr>
                <w:rFonts w:ascii="Arial" w:eastAsia="Cambria" w:hAnsi="Arial" w:cs="Arial"/>
                <w:sz w:val="20"/>
                <w:szCs w:val="20"/>
                <w:lang w:val="pt-PT"/>
              </w:rPr>
              <w:t xml:space="preserve"> pontualidade pode ser indelicada</w:t>
            </w:r>
          </w:p>
        </w:tc>
      </w:tr>
      <w:tr w:rsidR="00DE10A0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>Toda a reunião é executada de acordo com a agenda</w:t>
            </w:r>
          </w:p>
        </w:tc>
        <w:tc>
          <w:tcPr>
            <w:tcW w:w="4668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/>
              </w:rPr>
              <w:t>Não há tempo fixo para a reunião</w:t>
            </w:r>
            <w:r>
              <w:rPr>
                <w:rFonts w:ascii="Arial" w:eastAsia="Cambria" w:hAnsi="Arial" w:cs="Arial"/>
                <w:sz w:val="20"/>
                <w:szCs w:val="20"/>
                <w:lang w:val="pt-PT"/>
              </w:rPr>
              <w:t>, d</w:t>
            </w:r>
            <w:r w:rsidRPr="00D209D6">
              <w:rPr>
                <w:rFonts w:ascii="Arial" w:eastAsia="Cambria" w:hAnsi="Arial" w:cs="Arial"/>
                <w:sz w:val="20"/>
                <w:szCs w:val="20"/>
                <w:lang w:val="pt-PT"/>
              </w:rPr>
              <w:t>epende da necessidade e da situação</w:t>
            </w:r>
          </w:p>
        </w:tc>
      </w:tr>
      <w:tr w:rsidR="00DE10A0" w:rsidRPr="00DE10A0" w:rsidTr="00993A79">
        <w:trPr>
          <w:trHeight w:val="1134"/>
        </w:trPr>
        <w:tc>
          <w:tcPr>
            <w:tcW w:w="4667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>Mesmo um atraso de poucos minutos não é aceitável</w:t>
            </w:r>
          </w:p>
        </w:tc>
        <w:tc>
          <w:tcPr>
            <w:tcW w:w="4668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/>
              </w:rPr>
              <w:t xml:space="preserve">O prazo é uma sugestão, não </w:t>
            </w:r>
            <w:r>
              <w:rPr>
                <w:rFonts w:ascii="Arial" w:eastAsia="Cambria" w:hAnsi="Arial" w:cs="Arial"/>
                <w:sz w:val="20"/>
                <w:szCs w:val="20"/>
                <w:lang w:val="pt-PT"/>
              </w:rPr>
              <w:t>uma exigência</w:t>
            </w:r>
          </w:p>
        </w:tc>
      </w:tr>
    </w:tbl>
    <w:p w:rsidR="009565FD" w:rsidRPr="00DE10A0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E10A0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E10A0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E10A0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E10A0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E10A0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E10A0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E10A0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E10A0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E10A0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E10A0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E10A0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E10A0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E10A0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E10A0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p w:rsidR="009565FD" w:rsidRPr="00DE10A0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pl-PL"/>
        </w:rPr>
      </w:pPr>
    </w:p>
    <w:tbl>
      <w:tblPr>
        <w:tblStyle w:val="Tabela-Siatka1"/>
        <w:tblW w:w="9335" w:type="dxa"/>
        <w:tblInd w:w="110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4667"/>
        <w:gridCol w:w="4668"/>
      </w:tblGrid>
      <w:tr w:rsidR="00DE10A0" w:rsidRPr="00DE10A0" w:rsidTr="00993A79">
        <w:trPr>
          <w:trHeight w:val="1134"/>
        </w:trPr>
        <w:tc>
          <w:tcPr>
            <w:tcW w:w="4667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8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b/>
                <w:sz w:val="28"/>
                <w:szCs w:val="20"/>
                <w:lang w:val="pt-PT"/>
              </w:rPr>
              <w:t>CULTURA ORIENTADA PARA A TAREF</w:t>
            </w:r>
          </w:p>
        </w:tc>
        <w:tc>
          <w:tcPr>
            <w:tcW w:w="4668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8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b/>
                <w:sz w:val="28"/>
                <w:szCs w:val="20"/>
                <w:lang w:val="pt-PT"/>
              </w:rPr>
              <w:t>CULTURA ORIENTADA PARA A RELAÇÃO</w:t>
            </w:r>
          </w:p>
        </w:tc>
      </w:tr>
      <w:tr w:rsidR="00DE10A0" w:rsidRPr="00DE10A0" w:rsidTr="00993A79">
        <w:trPr>
          <w:trHeight w:val="1134"/>
        </w:trPr>
        <w:tc>
          <w:tcPr>
            <w:tcW w:w="4667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>A tomada de decisões é muitas vezes da responsabilidade de um indivíduo</w:t>
            </w:r>
          </w:p>
        </w:tc>
        <w:tc>
          <w:tcPr>
            <w:tcW w:w="4668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/>
              </w:rPr>
              <w:t>A harmonia do grupo é avaliada</w:t>
            </w:r>
          </w:p>
        </w:tc>
      </w:tr>
      <w:tr w:rsidR="00DE10A0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 xml:space="preserve">Respeito por </w:t>
            </w:r>
            <w:r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>dar</w:t>
            </w:r>
            <w:r w:rsidRPr="00D209D6"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 xml:space="preserve"> propostas lógicas e bem planeadas</w:t>
            </w:r>
          </w:p>
        </w:tc>
        <w:tc>
          <w:tcPr>
            <w:tcW w:w="4668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/>
              </w:rPr>
              <w:t>Concentrado na pessoa</w:t>
            </w:r>
          </w:p>
        </w:tc>
      </w:tr>
      <w:tr w:rsidR="00DE10A0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>Após uma breve apresentação, va</w:t>
            </w:r>
            <w:r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>i-se</w:t>
            </w:r>
            <w:r w:rsidRPr="00D209D6"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 xml:space="preserve"> diretamente ao objetivo da reunião</w:t>
            </w:r>
          </w:p>
        </w:tc>
        <w:tc>
          <w:tcPr>
            <w:tcW w:w="4668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/>
              </w:rPr>
              <w:t>As relações informais às vezes podem substituir os acordos oficiais</w:t>
            </w:r>
          </w:p>
        </w:tc>
      </w:tr>
      <w:tr w:rsidR="00DE10A0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>Muitos acordos podem ser feitos via internet ou telemóvel</w:t>
            </w:r>
          </w:p>
        </w:tc>
        <w:tc>
          <w:tcPr>
            <w:tcW w:w="4668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/>
              </w:rPr>
              <w:t>Não é comum fazer negócios com estranhos</w:t>
            </w:r>
          </w:p>
        </w:tc>
      </w:tr>
      <w:tr w:rsidR="00DE10A0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 xml:space="preserve">Existe uma maneira clara e formal </w:t>
            </w:r>
            <w:r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>para</w:t>
            </w:r>
            <w:r w:rsidRPr="00D209D6"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 xml:space="preserve"> fazer coisas</w:t>
            </w:r>
          </w:p>
        </w:tc>
        <w:tc>
          <w:tcPr>
            <w:tcW w:w="4668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/>
              </w:rPr>
              <w:t>A pessoa com quem cooperamos é matéria</w:t>
            </w:r>
            <w:r>
              <w:rPr>
                <w:rFonts w:ascii="Arial" w:eastAsia="Cambria" w:hAnsi="Arial" w:cs="Arial"/>
                <w:sz w:val="20"/>
                <w:szCs w:val="20"/>
                <w:lang w:val="pt-PT"/>
              </w:rPr>
              <w:t xml:space="preserve"> essencial</w:t>
            </w:r>
          </w:p>
        </w:tc>
      </w:tr>
    </w:tbl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tbl>
      <w:tblPr>
        <w:tblStyle w:val="Tabela-Siatka1"/>
        <w:tblW w:w="9335" w:type="dxa"/>
        <w:tblInd w:w="110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4667"/>
        <w:gridCol w:w="4668"/>
      </w:tblGrid>
      <w:tr w:rsidR="00DE10A0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8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b/>
                <w:sz w:val="28"/>
                <w:szCs w:val="20"/>
                <w:lang w:val="pt-PT" w:eastAsia="pt-PT"/>
              </w:rPr>
              <w:t>CULTURA CEREMONIAL</w:t>
            </w:r>
          </w:p>
        </w:tc>
        <w:tc>
          <w:tcPr>
            <w:tcW w:w="4668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8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b/>
                <w:sz w:val="28"/>
                <w:szCs w:val="20"/>
                <w:lang w:val="pt-PT"/>
              </w:rPr>
              <w:t>CULTURA NÃO CEREMONIAL</w:t>
            </w:r>
          </w:p>
        </w:tc>
      </w:tr>
      <w:tr w:rsidR="00DE10A0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73D816DC"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>Siga as regras e cerimónias obrigatórias</w:t>
            </w:r>
          </w:p>
        </w:tc>
        <w:tc>
          <w:tcPr>
            <w:tcW w:w="4668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/>
              </w:rPr>
              <w:t>Abertur</w:t>
            </w:r>
            <w:bookmarkStart w:id="0" w:name="_GoBack"/>
            <w:bookmarkEnd w:id="0"/>
            <w:r w:rsidRPr="00D209D6">
              <w:rPr>
                <w:rFonts w:ascii="Arial" w:eastAsia="Cambria" w:hAnsi="Arial" w:cs="Arial"/>
                <w:sz w:val="20"/>
                <w:szCs w:val="20"/>
                <w:lang w:val="pt-PT"/>
              </w:rPr>
              <w:t>a na comunicação</w:t>
            </w:r>
          </w:p>
        </w:tc>
      </w:tr>
      <w:tr w:rsidR="00DE10A0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</w:p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/>
              </w:rPr>
              <w:t>Começar a tratar o outro pelo primeiro nome não é comum</w:t>
            </w:r>
          </w:p>
        </w:tc>
        <w:tc>
          <w:tcPr>
            <w:tcW w:w="4668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73D816DC">
              <w:rPr>
                <w:rFonts w:ascii="Arial" w:eastAsia="Cambria" w:hAnsi="Arial" w:cs="Arial"/>
                <w:sz w:val="20"/>
                <w:szCs w:val="20"/>
                <w:lang w:val="pt-PT"/>
              </w:rPr>
              <w:t>Pode falar abertamente com todas as pessoas, independentemente da idade, género, educação</w:t>
            </w:r>
          </w:p>
        </w:tc>
      </w:tr>
      <w:tr w:rsidR="00DE10A0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 xml:space="preserve">O respeito </w:t>
            </w:r>
            <w:r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>pelo</w:t>
            </w:r>
            <w:r w:rsidRPr="00D209D6"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 xml:space="preserve"> idoso é </w:t>
            </w:r>
            <w:r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>valorizado</w:t>
            </w:r>
          </w:p>
        </w:tc>
        <w:tc>
          <w:tcPr>
            <w:tcW w:w="4668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/>
              </w:rPr>
              <w:t>Todas as pessoas são iguais</w:t>
            </w:r>
          </w:p>
        </w:tc>
      </w:tr>
      <w:tr w:rsidR="00DE10A0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00D209D6"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>É comum usar títulos oficiais, sobrenomes, nome completo</w:t>
            </w:r>
          </w:p>
        </w:tc>
        <w:tc>
          <w:tcPr>
            <w:tcW w:w="4668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73D816DC">
              <w:rPr>
                <w:rFonts w:ascii="Arial" w:eastAsia="Cambria" w:hAnsi="Arial" w:cs="Arial"/>
                <w:sz w:val="20"/>
                <w:szCs w:val="20"/>
                <w:lang w:val="pt-PT"/>
              </w:rPr>
              <w:t>A opinião comum é que as cerimónias tornam a vida mais complicada</w:t>
            </w:r>
          </w:p>
        </w:tc>
      </w:tr>
      <w:tr w:rsidR="00DE10A0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73D816DC">
              <w:rPr>
                <w:rFonts w:ascii="Arial" w:eastAsia="Cambria" w:hAnsi="Arial" w:cs="Arial"/>
                <w:sz w:val="20"/>
                <w:szCs w:val="20"/>
                <w:lang w:val="pt-PT" w:eastAsia="pt-PT"/>
              </w:rPr>
              <w:t>O lugar na hierarquia depende da idade, género e educação</w:t>
            </w:r>
          </w:p>
        </w:tc>
        <w:tc>
          <w:tcPr>
            <w:tcW w:w="4668" w:type="dxa"/>
            <w:vAlign w:val="center"/>
          </w:tcPr>
          <w:p w:rsidR="00DE10A0" w:rsidRPr="00D209D6" w:rsidRDefault="00DE10A0" w:rsidP="00E41D7F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  <w:r w:rsidRPr="73D816DC">
              <w:rPr>
                <w:rFonts w:ascii="Arial" w:eastAsia="Cambria" w:hAnsi="Arial" w:cs="Arial"/>
                <w:sz w:val="20"/>
                <w:szCs w:val="20"/>
                <w:lang w:val="pt-PT"/>
              </w:rPr>
              <w:t>Começa a tratar a pessoa pelo primeiro nome, muito rapidamente</w:t>
            </w:r>
          </w:p>
        </w:tc>
      </w:tr>
    </w:tbl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ind w:left="851" w:right="793"/>
        <w:jc w:val="center"/>
        <w:rPr>
          <w:rFonts w:ascii="Calibri" w:eastAsia="Calibri" w:hAnsi="Calibri" w:cs="Times New Roman"/>
        </w:rPr>
      </w:pPr>
    </w:p>
    <w:p w:rsidR="00EF5D3B" w:rsidRPr="00F22FE6" w:rsidRDefault="00EF5D3B" w:rsidP="009565FD">
      <w:pPr>
        <w:ind w:left="1134" w:right="1219"/>
        <w:jc w:val="center"/>
        <w:rPr>
          <w:rFonts w:ascii="Arial" w:hAnsi="Arial" w:cs="Arial"/>
          <w:b/>
          <w:i/>
          <w:sz w:val="24"/>
        </w:rPr>
      </w:pPr>
    </w:p>
    <w:sectPr w:rsidR="00EF5D3B" w:rsidRPr="00F22FE6" w:rsidSect="00B37036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F61" w:rsidRDefault="00DC1F61">
      <w:pPr>
        <w:spacing w:after="0" w:line="240" w:lineRule="auto"/>
      </w:pPr>
      <w:r>
        <w:separator/>
      </w:r>
    </w:p>
  </w:endnote>
  <w:endnote w:type="continuationSeparator" w:id="0">
    <w:p w:rsidR="00DC1F61" w:rsidRDefault="00DC1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1441BF" w:rsidP="001B2F0D">
    <w:pPr>
      <w:spacing w:after="0" w:line="240" w:lineRule="auto"/>
      <w:ind w:left="-238"/>
    </w:pPr>
    <w:r w:rsidRPr="001441BF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2.5pt;margin-top:.15pt;width:102.2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DE10A0" w:rsidRDefault="00DE10A0" w:rsidP="00DE10A0">
                <w:r w:rsidRPr="00DE10A0">
                  <w:rPr>
                    <w:rFonts w:ascii="Trebuchet MS" w:hAnsi="Trebuchet MS"/>
                    <w:color w:val="FFFFFF" w:themeColor="background1"/>
                    <w:lang w:val="pl-PL"/>
                  </w:rPr>
                  <w:t xml:space="preserve">O </w:t>
                </w:r>
                <w:proofErr w:type="spellStart"/>
                <w:r w:rsidRPr="00DE10A0">
                  <w:rPr>
                    <w:rFonts w:ascii="Trebuchet MS" w:hAnsi="Trebuchet MS"/>
                    <w:color w:val="FFFFFF" w:themeColor="background1"/>
                    <w:lang w:val="pl-PL"/>
                  </w:rPr>
                  <w:t>que</w:t>
                </w:r>
                <w:proofErr w:type="spellEnd"/>
                <w:r w:rsidRPr="00DE10A0">
                  <w:rPr>
                    <w:rFonts w:ascii="Trebuchet MS" w:hAnsi="Trebuchet MS"/>
                    <w:color w:val="FFFFFF" w:themeColor="background1"/>
                    <w:lang w:val="pl-PL"/>
                  </w:rPr>
                  <w:t xml:space="preserve"> </w:t>
                </w:r>
                <w:proofErr w:type="spellStart"/>
                <w:r w:rsidRPr="00DE10A0">
                  <w:rPr>
                    <w:rFonts w:ascii="Trebuchet MS" w:hAnsi="Trebuchet MS"/>
                    <w:color w:val="FFFFFF" w:themeColor="background1"/>
                    <w:lang w:val="pl-PL"/>
                  </w:rPr>
                  <w:t>aconteceu</w:t>
                </w:r>
                <w:proofErr w:type="spellEnd"/>
                <w:r w:rsidRPr="00DE10A0">
                  <w:rPr>
                    <w:rFonts w:ascii="Trebuchet MS" w:hAnsi="Trebuchet MS"/>
                    <w:color w:val="FFFFFF" w:themeColor="background1"/>
                    <w:lang w:val="pl-PL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1441BF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F61" w:rsidRDefault="00DC1F61">
      <w:pPr>
        <w:spacing w:after="0" w:line="240" w:lineRule="auto"/>
      </w:pPr>
      <w:r>
        <w:separator/>
      </w:r>
    </w:p>
  </w:footnote>
  <w:footnote w:type="continuationSeparator" w:id="0">
    <w:p w:rsidR="00DC1F61" w:rsidRDefault="00DC1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B37036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150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0BB"/>
    <w:rsid w:val="000B4DFB"/>
    <w:rsid w:val="000C2D89"/>
    <w:rsid w:val="000C7D84"/>
    <w:rsid w:val="001000BB"/>
    <w:rsid w:val="00104D24"/>
    <w:rsid w:val="001172D9"/>
    <w:rsid w:val="00136FA7"/>
    <w:rsid w:val="001441BF"/>
    <w:rsid w:val="001473C4"/>
    <w:rsid w:val="001636BA"/>
    <w:rsid w:val="00170467"/>
    <w:rsid w:val="0017294B"/>
    <w:rsid w:val="00184DE5"/>
    <w:rsid w:val="001856A0"/>
    <w:rsid w:val="001A5195"/>
    <w:rsid w:val="001A60CD"/>
    <w:rsid w:val="001B2F0D"/>
    <w:rsid w:val="001B683E"/>
    <w:rsid w:val="001D007C"/>
    <w:rsid w:val="001D54AE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6E4B2B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945E68"/>
    <w:rsid w:val="009565FD"/>
    <w:rsid w:val="00966369"/>
    <w:rsid w:val="00993A79"/>
    <w:rsid w:val="009A1002"/>
    <w:rsid w:val="009A3EB7"/>
    <w:rsid w:val="009A640E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6F2A"/>
    <w:rsid w:val="00AA78BE"/>
    <w:rsid w:val="00AB780D"/>
    <w:rsid w:val="00AE19A2"/>
    <w:rsid w:val="00AE5038"/>
    <w:rsid w:val="00B04C68"/>
    <w:rsid w:val="00B056F4"/>
    <w:rsid w:val="00B07E0C"/>
    <w:rsid w:val="00B265C6"/>
    <w:rsid w:val="00B3703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23B3"/>
    <w:rsid w:val="00D454C7"/>
    <w:rsid w:val="00D51FF9"/>
    <w:rsid w:val="00D82FD4"/>
    <w:rsid w:val="00D83150"/>
    <w:rsid w:val="00DA32F0"/>
    <w:rsid w:val="00DA6A22"/>
    <w:rsid w:val="00DA7B47"/>
    <w:rsid w:val="00DC1F61"/>
    <w:rsid w:val="00DC7CC6"/>
    <w:rsid w:val="00DD3EB3"/>
    <w:rsid w:val="00DE10A0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rsid w:val="009565F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427</Words>
  <Characters>2568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2990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5</cp:revision>
  <cp:lastPrinted>2017-02-17T17:57:00Z</cp:lastPrinted>
  <dcterms:created xsi:type="dcterms:W3CDTF">2018-03-31T15:18:00Z</dcterms:created>
  <dcterms:modified xsi:type="dcterms:W3CDTF">2018-05-06T09:58:00Z</dcterms:modified>
  <cp:category>Intellectual Output</cp:category>
</cp:coreProperties>
</file>